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6FE" w:rsidRDefault="00A90680" w:rsidP="004F1172">
      <w:pPr>
        <w:tabs>
          <w:tab w:val="left" w:pos="0"/>
        </w:tabs>
        <w:jc w:val="center"/>
        <w:rPr>
          <w:b/>
        </w:rPr>
      </w:pPr>
      <w:r w:rsidRPr="003A0D89">
        <w:rPr>
          <w:b/>
        </w:rPr>
        <w:t xml:space="preserve">Wyniki konsultacji z Suwalską Radą Działalności Pożytku Publicznego </w:t>
      </w:r>
    </w:p>
    <w:p w:rsidR="00A90680" w:rsidRPr="003A0D89" w:rsidRDefault="009546D2" w:rsidP="004F1172">
      <w:pPr>
        <w:tabs>
          <w:tab w:val="left" w:pos="0"/>
        </w:tabs>
        <w:jc w:val="center"/>
        <w:rPr>
          <w:b/>
          <w:bCs/>
        </w:rPr>
      </w:pPr>
      <w:r>
        <w:rPr>
          <w:b/>
        </w:rPr>
        <w:t xml:space="preserve">i organizacjami pozarządowymi </w:t>
      </w:r>
      <w:r w:rsidR="00A90680" w:rsidRPr="003A0D89">
        <w:rPr>
          <w:b/>
        </w:rPr>
        <w:t xml:space="preserve">projektu uchwały Rady Miejskiej w Suwałkach </w:t>
      </w:r>
      <w:r>
        <w:rPr>
          <w:b/>
        </w:rPr>
        <w:br/>
      </w:r>
      <w:r w:rsidR="00A90680" w:rsidRPr="003A0D89">
        <w:rPr>
          <w:b/>
          <w:bCs/>
        </w:rPr>
        <w:t xml:space="preserve">w sprawie przeprowadzenia na terenie Gminy Miasta Suwałki konsultacji społecznych </w:t>
      </w:r>
      <w:r w:rsidR="00A90680" w:rsidRPr="003A0D89">
        <w:rPr>
          <w:b/>
          <w:bCs/>
        </w:rPr>
        <w:br/>
        <w:t>w sprawie Suwalskiego Budżetu Obywatelskiego jako części budżetu miasta na 20</w:t>
      </w:r>
      <w:r w:rsidR="00F2089A" w:rsidRPr="003A0D89">
        <w:rPr>
          <w:b/>
          <w:bCs/>
        </w:rPr>
        <w:t>2</w:t>
      </w:r>
      <w:r w:rsidR="00672EA1">
        <w:rPr>
          <w:b/>
          <w:bCs/>
        </w:rPr>
        <w:t>1</w:t>
      </w:r>
      <w:r w:rsidR="00A90680" w:rsidRPr="003A0D89">
        <w:rPr>
          <w:b/>
          <w:bCs/>
        </w:rPr>
        <w:t xml:space="preserve"> rok</w:t>
      </w:r>
    </w:p>
    <w:p w:rsidR="00A90680" w:rsidRPr="003A0D89" w:rsidRDefault="00A90680" w:rsidP="004F1172">
      <w:pPr>
        <w:rPr>
          <w:b/>
        </w:rPr>
      </w:pPr>
    </w:p>
    <w:p w:rsidR="00A90680" w:rsidRPr="003A0D89" w:rsidRDefault="00A90680" w:rsidP="004F1172">
      <w:r w:rsidRPr="003A0D89">
        <w:rPr>
          <w:b/>
        </w:rPr>
        <w:t>Organizacja zgłaszająca - Suwalska Rada Działalności Pożytku Publicznego</w:t>
      </w:r>
    </w:p>
    <w:p w:rsidR="00A90680" w:rsidRPr="003A0D89" w:rsidRDefault="00A90680" w:rsidP="004F1172"/>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1984"/>
        <w:gridCol w:w="2410"/>
        <w:gridCol w:w="1842"/>
      </w:tblGrid>
      <w:tr w:rsidR="000A2B8A" w:rsidRPr="003A0D89" w:rsidTr="009546D2">
        <w:trPr>
          <w:cantSplit/>
          <w:trHeight w:val="780"/>
        </w:trPr>
        <w:tc>
          <w:tcPr>
            <w:tcW w:w="675" w:type="dxa"/>
            <w:vMerge w:val="restart"/>
            <w:vAlign w:val="center"/>
          </w:tcPr>
          <w:p w:rsidR="000A2B8A" w:rsidRPr="003A0D89" w:rsidRDefault="000A2B8A" w:rsidP="000A2B8A">
            <w:pPr>
              <w:jc w:val="center"/>
            </w:pPr>
            <w:r w:rsidRPr="003A0D89">
              <w:t>Lp.</w:t>
            </w:r>
          </w:p>
        </w:tc>
        <w:tc>
          <w:tcPr>
            <w:tcW w:w="3969" w:type="dxa"/>
            <w:gridSpan w:val="2"/>
            <w:vAlign w:val="center"/>
          </w:tcPr>
          <w:p w:rsidR="000A2B8A" w:rsidRPr="003A0D89" w:rsidRDefault="000A2B8A" w:rsidP="000A2B8A">
            <w:pPr>
              <w:jc w:val="center"/>
            </w:pPr>
          </w:p>
          <w:p w:rsidR="000A2B8A" w:rsidRPr="003A0D89" w:rsidRDefault="000A2B8A" w:rsidP="000A2B8A">
            <w:pPr>
              <w:jc w:val="center"/>
            </w:pPr>
            <w:r w:rsidRPr="003A0D89">
              <w:t>Opinie i uwagi zgłoszone w trakcie konsultacji</w:t>
            </w:r>
          </w:p>
        </w:tc>
        <w:tc>
          <w:tcPr>
            <w:tcW w:w="2410" w:type="dxa"/>
            <w:vMerge w:val="restart"/>
            <w:vAlign w:val="center"/>
          </w:tcPr>
          <w:p w:rsidR="000A2B8A" w:rsidRPr="003A0D89" w:rsidRDefault="000A2B8A" w:rsidP="000A2B8A">
            <w:pPr>
              <w:jc w:val="center"/>
            </w:pPr>
          </w:p>
          <w:p w:rsidR="000A2B8A" w:rsidRPr="003A0D89" w:rsidRDefault="000A2B8A" w:rsidP="000A2B8A">
            <w:pPr>
              <w:pStyle w:val="Nagwek"/>
              <w:tabs>
                <w:tab w:val="clear" w:pos="4536"/>
                <w:tab w:val="clear" w:pos="9072"/>
              </w:tabs>
              <w:jc w:val="center"/>
            </w:pPr>
            <w:r w:rsidRPr="003A0D89">
              <w:t>Uzasadnienie do wprowadzenia zmian</w:t>
            </w:r>
          </w:p>
        </w:tc>
        <w:tc>
          <w:tcPr>
            <w:tcW w:w="1842" w:type="dxa"/>
            <w:vMerge w:val="restart"/>
            <w:vAlign w:val="center"/>
          </w:tcPr>
          <w:p w:rsidR="000A2B8A" w:rsidRDefault="000A2B8A" w:rsidP="000A2B8A">
            <w:pPr>
              <w:jc w:val="center"/>
            </w:pPr>
          </w:p>
          <w:p w:rsidR="000A2B8A" w:rsidRPr="003A0D89" w:rsidRDefault="009546D2" w:rsidP="009546D2">
            <w:pPr>
              <w:jc w:val="center"/>
            </w:pPr>
            <w:r>
              <w:t>S</w:t>
            </w:r>
            <w:r w:rsidR="007B243C">
              <w:t>tanowisk</w:t>
            </w:r>
            <w:r>
              <w:t>o</w:t>
            </w:r>
            <w:r w:rsidR="007B243C">
              <w:t xml:space="preserve"> </w:t>
            </w:r>
            <w:r w:rsidR="000A2B8A">
              <w:t>Prezydenta Miasta Suwałk</w:t>
            </w:r>
          </w:p>
        </w:tc>
      </w:tr>
      <w:tr w:rsidR="000A2B8A" w:rsidRPr="003A0D89" w:rsidTr="009546D2">
        <w:trPr>
          <w:cantSplit/>
          <w:trHeight w:val="585"/>
        </w:trPr>
        <w:tc>
          <w:tcPr>
            <w:tcW w:w="675" w:type="dxa"/>
            <w:vMerge/>
          </w:tcPr>
          <w:p w:rsidR="000A2B8A" w:rsidRPr="003A0D89" w:rsidRDefault="000A2B8A" w:rsidP="004F1172">
            <w:pPr>
              <w:autoSpaceDE w:val="0"/>
              <w:autoSpaceDN w:val="0"/>
              <w:adjustRightInd w:val="0"/>
            </w:pPr>
          </w:p>
        </w:tc>
        <w:tc>
          <w:tcPr>
            <w:tcW w:w="1985" w:type="dxa"/>
          </w:tcPr>
          <w:p w:rsidR="000A2B8A" w:rsidRPr="003A0D89" w:rsidRDefault="000A2B8A" w:rsidP="004F1172">
            <w:pPr>
              <w:autoSpaceDE w:val="0"/>
              <w:autoSpaceDN w:val="0"/>
              <w:adjustRightInd w:val="0"/>
              <w:jc w:val="center"/>
            </w:pPr>
            <w:r w:rsidRPr="003A0D89">
              <w:t>dotychczasowy zapis:</w:t>
            </w:r>
          </w:p>
          <w:p w:rsidR="000A2B8A" w:rsidRPr="003A0D89" w:rsidRDefault="000A2B8A" w:rsidP="004F1172">
            <w:pPr>
              <w:jc w:val="center"/>
            </w:pPr>
          </w:p>
        </w:tc>
        <w:tc>
          <w:tcPr>
            <w:tcW w:w="1984" w:type="dxa"/>
          </w:tcPr>
          <w:p w:rsidR="000A2B8A" w:rsidRPr="003A0D89" w:rsidRDefault="000A2B8A" w:rsidP="004F1172">
            <w:pPr>
              <w:jc w:val="center"/>
            </w:pPr>
            <w:r w:rsidRPr="003A0D89">
              <w:t xml:space="preserve">proponowana zmiana zapisu </w:t>
            </w:r>
            <w:r w:rsidRPr="003A0D89">
              <w:br/>
              <w:t>lub treść nowego zapisu:</w:t>
            </w:r>
          </w:p>
        </w:tc>
        <w:tc>
          <w:tcPr>
            <w:tcW w:w="2410" w:type="dxa"/>
            <w:vMerge/>
          </w:tcPr>
          <w:p w:rsidR="000A2B8A" w:rsidRPr="003A0D89" w:rsidRDefault="000A2B8A" w:rsidP="004F1172"/>
        </w:tc>
        <w:tc>
          <w:tcPr>
            <w:tcW w:w="1842" w:type="dxa"/>
            <w:vMerge/>
          </w:tcPr>
          <w:p w:rsidR="000A2B8A" w:rsidRPr="003A0D89" w:rsidRDefault="000A2B8A" w:rsidP="004F1172"/>
        </w:tc>
      </w:tr>
      <w:tr w:rsidR="000A2B8A" w:rsidRPr="003A0D89" w:rsidTr="009546D2">
        <w:trPr>
          <w:trHeight w:val="1180"/>
        </w:trPr>
        <w:tc>
          <w:tcPr>
            <w:tcW w:w="675" w:type="dxa"/>
          </w:tcPr>
          <w:p w:rsidR="000A2B8A" w:rsidRPr="003A0D89" w:rsidRDefault="000A2B8A" w:rsidP="004F1172">
            <w:r w:rsidRPr="003A0D89">
              <w:t>1.</w:t>
            </w:r>
          </w:p>
        </w:tc>
        <w:tc>
          <w:tcPr>
            <w:tcW w:w="1985" w:type="dxa"/>
          </w:tcPr>
          <w:p w:rsidR="000A2B8A" w:rsidRPr="00906B6D" w:rsidRDefault="000A2B8A" w:rsidP="004F1172">
            <w:pPr>
              <w:autoSpaceDE w:val="0"/>
              <w:autoSpaceDN w:val="0"/>
              <w:adjustRightInd w:val="0"/>
            </w:pPr>
            <w:r w:rsidRPr="00906B6D">
              <w:rPr>
                <w:bCs/>
                <w:color w:val="333333"/>
              </w:rPr>
              <w:t>§2.3 W grupie projektów „dużych” od 120 tys.</w:t>
            </w:r>
            <w:r>
              <w:rPr>
                <w:bCs/>
                <w:color w:val="333333"/>
              </w:rPr>
              <w:t xml:space="preserve"> z</w:t>
            </w:r>
            <w:r w:rsidRPr="00906B6D">
              <w:rPr>
                <w:bCs/>
                <w:color w:val="333333"/>
              </w:rPr>
              <w:t xml:space="preserve">ł </w:t>
            </w:r>
            <w:r>
              <w:rPr>
                <w:bCs/>
                <w:color w:val="333333"/>
              </w:rPr>
              <w:t xml:space="preserve">do 900 tys. zł nie dopuszcza się realizacji projektów na terenie będącym własnością Gminy Miasta Suwałki, będącym w trwałym zarządzie szkół i placówek w rozumieniu Ustawy – o systemie oświaty (Dz. U. z 2019 r. poz. 1481 z </w:t>
            </w:r>
            <w:proofErr w:type="spellStart"/>
            <w:r>
              <w:rPr>
                <w:bCs/>
                <w:color w:val="333333"/>
              </w:rPr>
              <w:t>późn</w:t>
            </w:r>
            <w:proofErr w:type="spellEnd"/>
            <w:r>
              <w:rPr>
                <w:bCs/>
                <w:color w:val="333333"/>
              </w:rPr>
              <w:t xml:space="preserve">. zm.) oraz żłobków w rozumieniu Ustawy o opiece nad dziećmi w wieku do lat 3 (Dz. U. z 2019 r. poz. 409 z </w:t>
            </w:r>
            <w:proofErr w:type="spellStart"/>
            <w:r>
              <w:rPr>
                <w:bCs/>
                <w:color w:val="333333"/>
              </w:rPr>
              <w:t>późn</w:t>
            </w:r>
            <w:proofErr w:type="spellEnd"/>
            <w:r>
              <w:rPr>
                <w:bCs/>
                <w:color w:val="333333"/>
              </w:rPr>
              <w:t>. zm.).</w:t>
            </w:r>
          </w:p>
        </w:tc>
        <w:tc>
          <w:tcPr>
            <w:tcW w:w="1984" w:type="dxa"/>
          </w:tcPr>
          <w:p w:rsidR="000A2B8A" w:rsidRPr="003A0D89" w:rsidRDefault="000A2B8A" w:rsidP="00777983">
            <w:r w:rsidRPr="00906B6D">
              <w:rPr>
                <w:bCs/>
                <w:color w:val="333333"/>
              </w:rPr>
              <w:t xml:space="preserve">§2.3 </w:t>
            </w:r>
            <w:r>
              <w:rPr>
                <w:bCs/>
                <w:color w:val="333333"/>
              </w:rPr>
              <w:t xml:space="preserve">Nie dopuszcza się realizacji projektów na terenie będącym własnością Gminy Miasta Suwałki, będącym w trwałym zarządzie szkół i placówek w rozumieniu </w:t>
            </w:r>
            <w:r w:rsidRPr="00261CD8">
              <w:rPr>
                <w:bCs/>
              </w:rPr>
              <w:t xml:space="preserve">Ustawy o systemie </w:t>
            </w:r>
            <w:r>
              <w:rPr>
                <w:bCs/>
                <w:color w:val="333333"/>
              </w:rPr>
              <w:t xml:space="preserve">oświaty (Dz. U. z 2019 r. poz. 1481 z </w:t>
            </w:r>
            <w:proofErr w:type="spellStart"/>
            <w:r>
              <w:rPr>
                <w:bCs/>
                <w:color w:val="333333"/>
              </w:rPr>
              <w:t>późn</w:t>
            </w:r>
            <w:proofErr w:type="spellEnd"/>
            <w:r>
              <w:rPr>
                <w:bCs/>
                <w:color w:val="333333"/>
              </w:rPr>
              <w:t xml:space="preserve">. zm.) oraz żłobków w rozumieniu Ustawy o opiece nad dziećmi w wieku do lat 3 (Dz. U. z 2019 r. poz. 409 z </w:t>
            </w:r>
            <w:proofErr w:type="spellStart"/>
            <w:r>
              <w:rPr>
                <w:bCs/>
                <w:color w:val="333333"/>
              </w:rPr>
              <w:t>późn</w:t>
            </w:r>
            <w:proofErr w:type="spellEnd"/>
            <w:r>
              <w:rPr>
                <w:bCs/>
                <w:color w:val="333333"/>
              </w:rPr>
              <w:t>. zm.)</w:t>
            </w:r>
          </w:p>
        </w:tc>
        <w:tc>
          <w:tcPr>
            <w:tcW w:w="2410" w:type="dxa"/>
          </w:tcPr>
          <w:p w:rsidR="000A2B8A" w:rsidRPr="003A0D89" w:rsidRDefault="000A2B8A" w:rsidP="009546D2">
            <w:pPr>
              <w:pStyle w:val="Nagwek1"/>
              <w:spacing w:before="0" w:line="240" w:lineRule="auto"/>
            </w:pPr>
            <w:r>
              <w:rPr>
                <w:rFonts w:ascii="Times New Roman" w:hAnsi="Times New Roman" w:cs="Times New Roman"/>
                <w:b w:val="0"/>
                <w:color w:val="auto"/>
                <w:sz w:val="24"/>
                <w:szCs w:val="24"/>
              </w:rPr>
              <w:t>D</w:t>
            </w:r>
            <w:r w:rsidRPr="0019092D">
              <w:rPr>
                <w:rFonts w:ascii="Times New Roman" w:hAnsi="Times New Roman" w:cs="Times New Roman"/>
                <w:b w:val="0"/>
                <w:color w:val="auto"/>
                <w:sz w:val="24"/>
                <w:szCs w:val="24"/>
              </w:rPr>
              <w:t>opuszczenie do realizacji projektów na terenach szkół i placówek w rozumien</w:t>
            </w:r>
            <w:r>
              <w:rPr>
                <w:rFonts w:ascii="Times New Roman" w:hAnsi="Times New Roman" w:cs="Times New Roman"/>
                <w:b w:val="0"/>
                <w:color w:val="auto"/>
                <w:sz w:val="24"/>
                <w:szCs w:val="24"/>
              </w:rPr>
              <w:t>iu Ustawy o systemie oświaty i U</w:t>
            </w:r>
            <w:r w:rsidRPr="0019092D">
              <w:rPr>
                <w:rFonts w:ascii="Times New Roman" w:hAnsi="Times New Roman" w:cs="Times New Roman"/>
                <w:b w:val="0"/>
                <w:color w:val="auto"/>
                <w:sz w:val="24"/>
                <w:szCs w:val="24"/>
              </w:rPr>
              <w:t xml:space="preserve">stawy </w:t>
            </w:r>
            <w:r>
              <w:rPr>
                <w:rFonts w:ascii="Times New Roman" w:hAnsi="Times New Roman" w:cs="Times New Roman"/>
                <w:b w:val="0"/>
                <w:color w:val="auto"/>
                <w:sz w:val="24"/>
                <w:szCs w:val="24"/>
              </w:rPr>
              <w:t>P</w:t>
            </w:r>
            <w:r w:rsidRPr="0019092D">
              <w:rPr>
                <w:rFonts w:ascii="Times New Roman" w:hAnsi="Times New Roman" w:cs="Times New Roman"/>
                <w:b w:val="0"/>
                <w:color w:val="auto"/>
                <w:sz w:val="24"/>
                <w:szCs w:val="24"/>
              </w:rPr>
              <w:t xml:space="preserve">rawo oświatowe oraz żłobków w rozumieniu Ustawy o opiece nad dziećmi w wieku do 3 lat </w:t>
            </w:r>
            <w:r>
              <w:rPr>
                <w:rFonts w:ascii="Times New Roman" w:hAnsi="Times New Roman" w:cs="Times New Roman"/>
                <w:b w:val="0"/>
                <w:color w:val="auto"/>
                <w:sz w:val="24"/>
                <w:szCs w:val="24"/>
              </w:rPr>
              <w:t>może doprowadzić do tego, że z</w:t>
            </w:r>
            <w:r w:rsidRPr="0019092D">
              <w:rPr>
                <w:rFonts w:ascii="Times New Roman" w:hAnsi="Times New Roman" w:cs="Times New Roman"/>
                <w:b w:val="0"/>
                <w:color w:val="auto"/>
                <w:sz w:val="24"/>
                <w:szCs w:val="24"/>
              </w:rPr>
              <w:t xml:space="preserve">amiast pełnić rolę prawdziwie obywatelskiego narzędzia wpływania na kształt budżetu miasta przez mieszkańców, może służyć uzupełnianiu braków inwestycyjnych czy programowych w jednostkach budżetowych miasta. Szkoły i placówki edukacyjne mają niewspółmiernie większe możliwości pozyskiwania głosów od mieszkańców, za którymi nie stają żadne instytucje. W ten sposób przepadają ciekawe i pożądane przez ludzi inicjatywy na rzecz projektów, </w:t>
            </w:r>
            <w:r w:rsidRPr="0019092D">
              <w:rPr>
                <w:rFonts w:ascii="Times New Roman" w:hAnsi="Times New Roman" w:cs="Times New Roman"/>
                <w:b w:val="0"/>
                <w:color w:val="auto"/>
                <w:sz w:val="24"/>
                <w:szCs w:val="24"/>
              </w:rPr>
              <w:lastRenderedPageBreak/>
              <w:t>które są tak naprawdę podstawowymi zadaniami tych jednostek. Budżet obywatelski jest narzędziem</w:t>
            </w:r>
            <w:r>
              <w:rPr>
                <w:rFonts w:ascii="Times New Roman" w:hAnsi="Times New Roman" w:cs="Times New Roman"/>
                <w:b w:val="0"/>
                <w:color w:val="auto"/>
                <w:sz w:val="24"/>
                <w:szCs w:val="24"/>
              </w:rPr>
              <w:t>, które ma</w:t>
            </w:r>
            <w:r w:rsidRPr="0019092D">
              <w:rPr>
                <w:rFonts w:ascii="Times New Roman" w:hAnsi="Times New Roman" w:cs="Times New Roman"/>
                <w:b w:val="0"/>
                <w:color w:val="auto"/>
                <w:sz w:val="24"/>
                <w:szCs w:val="24"/>
              </w:rPr>
              <w:t xml:space="preserve"> pobudzić mieszkańców do dyskusji o tym czego potrzebują i czego chcą w swoim najbliższym otoc</w:t>
            </w:r>
            <w:r>
              <w:rPr>
                <w:rFonts w:ascii="Times New Roman" w:hAnsi="Times New Roman" w:cs="Times New Roman"/>
                <w:b w:val="0"/>
                <w:color w:val="auto"/>
                <w:sz w:val="24"/>
                <w:szCs w:val="24"/>
              </w:rPr>
              <w:t>zeniu. Nie może stać się</w:t>
            </w:r>
            <w:r w:rsidRPr="0019092D">
              <w:rPr>
                <w:rFonts w:ascii="Times New Roman" w:hAnsi="Times New Roman" w:cs="Times New Roman"/>
                <w:b w:val="0"/>
                <w:color w:val="auto"/>
                <w:sz w:val="24"/>
                <w:szCs w:val="24"/>
              </w:rPr>
              <w:t xml:space="preserve"> alternatywą na przekazywanie pieniędzy publicznych na zadania szkół podporządkowanych samorządowi, tym samym zabierając środki na realizację rzeczywiście oddolnych inicjatyw mieszkańców. Zwykli mieszkańcy mogą nie widzieć sensu dalszej partycypacji, bo takie zasady ich po prostu dyskryminują</w:t>
            </w:r>
            <w:r>
              <w:rPr>
                <w:rFonts w:ascii="Times New Roman" w:hAnsi="Times New Roman" w:cs="Times New Roman"/>
                <w:b w:val="0"/>
                <w:color w:val="auto"/>
                <w:sz w:val="24"/>
                <w:szCs w:val="24"/>
              </w:rPr>
              <w:t>, gdyż nie mają oni</w:t>
            </w:r>
            <w:r w:rsidRPr="0019092D">
              <w:rPr>
                <w:rFonts w:ascii="Times New Roman" w:hAnsi="Times New Roman" w:cs="Times New Roman"/>
                <w:b w:val="0"/>
                <w:color w:val="auto"/>
                <w:sz w:val="24"/>
                <w:szCs w:val="24"/>
              </w:rPr>
              <w:t xml:space="preserve"> szans na uczciwą rywalizację ze szkołami. Projekty szkolne generalnie nie są także ogólnodostępne dla ogółu, co stoi w sprzeczności z wpisaną w uchwale zasadą ogólnodostępności projektu.  </w:t>
            </w:r>
          </w:p>
        </w:tc>
        <w:tc>
          <w:tcPr>
            <w:tcW w:w="1842" w:type="dxa"/>
          </w:tcPr>
          <w:p w:rsidR="000A2B8A" w:rsidRDefault="009546D2" w:rsidP="004F1172">
            <w:pPr>
              <w:pStyle w:val="Nagwek1"/>
              <w:spacing w:before="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 xml:space="preserve">Propozycja odrzucona. Społeczności szkolne powinny mieć możliwość zgłaszania małych projektów inwestycyjnych oraz kulturalnych i społecznych ulokowanych na terenach szkolnych ze względu na duże potrzeby tego środowiska.  </w:t>
            </w:r>
          </w:p>
        </w:tc>
      </w:tr>
      <w:tr w:rsidR="000A2B8A" w:rsidRPr="003A0D89" w:rsidTr="009546D2">
        <w:trPr>
          <w:trHeight w:val="1180"/>
        </w:trPr>
        <w:tc>
          <w:tcPr>
            <w:tcW w:w="675" w:type="dxa"/>
          </w:tcPr>
          <w:p w:rsidR="000A2B8A" w:rsidRPr="003A0D89" w:rsidRDefault="000A2B8A" w:rsidP="004F1172">
            <w:r w:rsidRPr="003A0D89">
              <w:lastRenderedPageBreak/>
              <w:t>2.</w:t>
            </w:r>
          </w:p>
        </w:tc>
        <w:tc>
          <w:tcPr>
            <w:tcW w:w="1985" w:type="dxa"/>
          </w:tcPr>
          <w:p w:rsidR="000A2B8A" w:rsidRPr="003A0D89" w:rsidRDefault="000A2B8A" w:rsidP="00956CED">
            <w:pPr>
              <w:rPr>
                <w:b/>
                <w:bCs/>
                <w:color w:val="000000"/>
              </w:rPr>
            </w:pPr>
            <w:r>
              <w:rPr>
                <w:bCs/>
                <w:color w:val="333333"/>
              </w:rPr>
              <w:t>§2.5 Projekt zgłaszany do realizacji w ramach Suwalskiego Budżetu Obywatelskiego musi być ogólnodostępny.</w:t>
            </w:r>
          </w:p>
        </w:tc>
        <w:tc>
          <w:tcPr>
            <w:tcW w:w="1984" w:type="dxa"/>
          </w:tcPr>
          <w:p w:rsidR="00B95FF9" w:rsidRDefault="000A2B8A" w:rsidP="00B95FF9">
            <w:pPr>
              <w:rPr>
                <w:bCs/>
                <w:color w:val="333333"/>
              </w:rPr>
            </w:pPr>
            <w:r>
              <w:rPr>
                <w:bCs/>
                <w:color w:val="333333"/>
              </w:rPr>
              <w:t>§2.5 Projekt zgłaszany do realizacji w ramach Suwalskiego Budżetu Obywatelskiego musi być ogólnodostępny</w:t>
            </w:r>
            <w:r w:rsidR="00B95FF9">
              <w:rPr>
                <w:bCs/>
                <w:color w:val="333333"/>
              </w:rPr>
              <w:t>.</w:t>
            </w:r>
            <w:r>
              <w:rPr>
                <w:bCs/>
                <w:color w:val="333333"/>
              </w:rPr>
              <w:t xml:space="preserve"> </w:t>
            </w:r>
          </w:p>
          <w:p w:rsidR="000A2B8A" w:rsidRPr="00B95FF9" w:rsidRDefault="00B95FF9" w:rsidP="00B95FF9">
            <w:r>
              <w:t xml:space="preserve">Należy przez to rozumieć </w:t>
            </w:r>
            <w:r>
              <w:lastRenderedPageBreak/>
              <w:t>zagwarantowanie   ogółowi  mieszkańców   możliwości  nieodpłatnego korzystania z efektów realizacji projektu.</w:t>
            </w:r>
          </w:p>
        </w:tc>
        <w:tc>
          <w:tcPr>
            <w:tcW w:w="2410" w:type="dxa"/>
          </w:tcPr>
          <w:p w:rsidR="000A2B8A" w:rsidRPr="003A0D89" w:rsidRDefault="000A2B8A" w:rsidP="00956CED">
            <w:r>
              <w:lastRenderedPageBreak/>
              <w:t>Doprecyzowanie.</w:t>
            </w:r>
            <w:r w:rsidR="00B95FF9">
              <w:t xml:space="preserve"> </w:t>
            </w:r>
          </w:p>
        </w:tc>
        <w:tc>
          <w:tcPr>
            <w:tcW w:w="1842" w:type="dxa"/>
          </w:tcPr>
          <w:p w:rsidR="000A2B8A" w:rsidRDefault="009546D2" w:rsidP="00956CED">
            <w:r>
              <w:t xml:space="preserve">Propozycja odrzucona. Jeżeli inwestycja będzie  generowała  w przyszłości koszty eksploatacji czy obsługi powinna być możliwość </w:t>
            </w:r>
            <w:r>
              <w:lastRenderedPageBreak/>
              <w:t>pobierania opłat za korzystanie z niej.</w:t>
            </w:r>
          </w:p>
        </w:tc>
      </w:tr>
      <w:tr w:rsidR="00A93A5C" w:rsidRPr="003A0D89" w:rsidTr="009546D2">
        <w:trPr>
          <w:trHeight w:val="1180"/>
        </w:trPr>
        <w:tc>
          <w:tcPr>
            <w:tcW w:w="675" w:type="dxa"/>
          </w:tcPr>
          <w:p w:rsidR="00A93A5C" w:rsidRPr="003A0D89" w:rsidRDefault="00A334A2" w:rsidP="004F1172">
            <w:r>
              <w:lastRenderedPageBreak/>
              <w:t xml:space="preserve">3. </w:t>
            </w:r>
          </w:p>
        </w:tc>
        <w:tc>
          <w:tcPr>
            <w:tcW w:w="1985" w:type="dxa"/>
          </w:tcPr>
          <w:p w:rsidR="0016381A" w:rsidRDefault="0016381A" w:rsidP="00956CED">
            <w:r w:rsidRPr="00906B6D">
              <w:rPr>
                <w:bCs/>
                <w:color w:val="333333"/>
              </w:rPr>
              <w:t>§</w:t>
            </w:r>
            <w:r>
              <w:rPr>
                <w:bCs/>
                <w:color w:val="333333"/>
              </w:rPr>
              <w:t>17.</w:t>
            </w:r>
            <w:r>
              <w:t xml:space="preserve">2. Do realizacji zostaną skierowane z każdej z trzech grup te projekty, które w danej grupie uzyskają największą liczbę głosów, aż do wyczerpania puli środków przeznaczonych na daną grupę, z zastrzeżeniem, że do realizacji w grupie projektów „małych” do 120 tys. zł i „kulturalnych lub społecznych” </w:t>
            </w:r>
          </w:p>
          <w:p w:rsidR="00A93A5C" w:rsidRDefault="0016381A" w:rsidP="0016381A">
            <w:pPr>
              <w:rPr>
                <w:bCs/>
                <w:color w:val="333333"/>
              </w:rPr>
            </w:pPr>
            <w:r>
              <w:t xml:space="preserve">może zostać skierowany wyłącznie jeden projekt realizowany na terenie będącym własnością Gminy Miasta Suwałki, będącym w trwałym zarządzie szkół i placówek w rozumieniu Ustawy - o systemie oświaty (Dz. U. z 2019 r. poz. 1481 z </w:t>
            </w:r>
            <w:proofErr w:type="spellStart"/>
            <w:r>
              <w:t>późn</w:t>
            </w:r>
            <w:proofErr w:type="spellEnd"/>
            <w:r>
              <w:t xml:space="preserve">. zm.) i Ustawy Prawo oświatowe (Dz. U. z 2019 r. poz. 1148 z </w:t>
            </w:r>
            <w:proofErr w:type="spellStart"/>
            <w:r>
              <w:t>późn</w:t>
            </w:r>
            <w:proofErr w:type="spellEnd"/>
            <w:r>
              <w:t xml:space="preserve">. zm.) oraz żłobków w rozumieniu </w:t>
            </w:r>
            <w:r>
              <w:lastRenderedPageBreak/>
              <w:t xml:space="preserve">Ustawy o opiece nad dziećmi w wieku do lat 3 (Dz. U. z 2019 r. poz. 409, z </w:t>
            </w:r>
            <w:proofErr w:type="spellStart"/>
            <w:r>
              <w:t>późn</w:t>
            </w:r>
            <w:proofErr w:type="spellEnd"/>
            <w:r>
              <w:t>. zm.).</w:t>
            </w:r>
          </w:p>
        </w:tc>
        <w:tc>
          <w:tcPr>
            <w:tcW w:w="1984" w:type="dxa"/>
          </w:tcPr>
          <w:p w:rsidR="00926FA0" w:rsidRDefault="0016381A" w:rsidP="00926FA0">
            <w:pPr>
              <w:rPr>
                <w:bCs/>
                <w:color w:val="333333"/>
              </w:rPr>
            </w:pPr>
            <w:r w:rsidRPr="00906B6D">
              <w:rPr>
                <w:bCs/>
                <w:color w:val="333333"/>
              </w:rPr>
              <w:lastRenderedPageBreak/>
              <w:t>§</w:t>
            </w:r>
            <w:r>
              <w:rPr>
                <w:bCs/>
                <w:color w:val="333333"/>
              </w:rPr>
              <w:t>17.</w:t>
            </w:r>
            <w:r>
              <w:t>2. Do realizacji zostaną skierowane z każdej z trzech grup te projekty, które w danej grupie uzyskają największą liczbę głosów, aż do wyczerpania puli środków przeznaczonych na daną grupę</w:t>
            </w:r>
            <w:r w:rsidR="00926FA0">
              <w:t>.</w:t>
            </w:r>
          </w:p>
          <w:p w:rsidR="00A93A5C" w:rsidRDefault="00A93A5C" w:rsidP="0016381A">
            <w:pPr>
              <w:rPr>
                <w:bCs/>
                <w:color w:val="333333"/>
              </w:rPr>
            </w:pPr>
          </w:p>
        </w:tc>
        <w:tc>
          <w:tcPr>
            <w:tcW w:w="2410" w:type="dxa"/>
          </w:tcPr>
          <w:p w:rsidR="00A93A5C" w:rsidRDefault="00926FA0" w:rsidP="00956CED">
            <w:r>
              <w:t>Konsekwentnie do uwagi nr 1.</w:t>
            </w:r>
          </w:p>
        </w:tc>
        <w:tc>
          <w:tcPr>
            <w:tcW w:w="1842" w:type="dxa"/>
          </w:tcPr>
          <w:p w:rsidR="00A93A5C" w:rsidRDefault="009546D2" w:rsidP="00956CED">
            <w:r>
              <w:t>Propozycja odrzucona. Społeczności szkolne powinny mieć możliwość zgłaszania małych projektów inwestycyjnych oraz kulturalnych i społecznych ulokowanych na terenach szkolnych ze względu na duże potrzeby tego środowiska.</w:t>
            </w:r>
          </w:p>
        </w:tc>
      </w:tr>
    </w:tbl>
    <w:p w:rsidR="009546D2" w:rsidRDefault="009546D2" w:rsidP="004F1172">
      <w:pPr>
        <w:pStyle w:val="Tekstpodstawowy"/>
        <w:ind w:left="720"/>
        <w:rPr>
          <w:b w:val="0"/>
        </w:rPr>
      </w:pPr>
    </w:p>
    <w:p w:rsidR="009546D2" w:rsidRPr="006C3262" w:rsidRDefault="009546D2" w:rsidP="009546D2">
      <w:pPr>
        <w:pStyle w:val="Tekstpodstawowy"/>
        <w:jc w:val="both"/>
      </w:pPr>
      <w:r w:rsidRPr="006C3262">
        <w:t xml:space="preserve">Organizacje pozarządowe nie zgłosiły uwag. </w:t>
      </w:r>
    </w:p>
    <w:p w:rsidR="009546D2" w:rsidRDefault="009546D2" w:rsidP="004F1172">
      <w:pPr>
        <w:pStyle w:val="Tekstpodstawowy"/>
        <w:ind w:left="720"/>
        <w:rPr>
          <w:b w:val="0"/>
        </w:rPr>
      </w:pPr>
    </w:p>
    <w:p w:rsidR="009546D2" w:rsidRDefault="009546D2" w:rsidP="004F1172">
      <w:pPr>
        <w:pStyle w:val="Tekstpodstawowy"/>
        <w:ind w:left="720"/>
        <w:rPr>
          <w:b w:val="0"/>
        </w:rPr>
      </w:pPr>
    </w:p>
    <w:p w:rsidR="00A90680" w:rsidRPr="003A0D89" w:rsidRDefault="00A90680" w:rsidP="004F1172">
      <w:pPr>
        <w:pStyle w:val="Tekstpodstawowy"/>
        <w:ind w:left="720"/>
        <w:rPr>
          <w:b w:val="0"/>
        </w:rPr>
      </w:pPr>
      <w:r w:rsidRPr="003A0D89">
        <w:rPr>
          <w:b w:val="0"/>
        </w:rPr>
        <w:t>Sporządziła</w:t>
      </w:r>
    </w:p>
    <w:p w:rsidR="009546D2" w:rsidRDefault="00A90680" w:rsidP="004F1172">
      <w:pPr>
        <w:pStyle w:val="Tekstpodstawowy"/>
        <w:ind w:left="720"/>
        <w:rPr>
          <w:b w:val="0"/>
        </w:rPr>
      </w:pPr>
      <w:r w:rsidRPr="003A0D89">
        <w:rPr>
          <w:b w:val="0"/>
        </w:rPr>
        <w:t xml:space="preserve">Agnieszka Szyszko, </w:t>
      </w:r>
      <w:r w:rsidR="009546D2">
        <w:rPr>
          <w:b w:val="0"/>
        </w:rPr>
        <w:t xml:space="preserve">Pełnomocnik Prezydenta Miasta </w:t>
      </w:r>
    </w:p>
    <w:p w:rsidR="00A90680" w:rsidRPr="003A0D89" w:rsidRDefault="009546D2" w:rsidP="004F1172">
      <w:pPr>
        <w:pStyle w:val="Tekstpodstawowy"/>
        <w:ind w:left="720"/>
        <w:rPr>
          <w:b w:val="0"/>
        </w:rPr>
      </w:pPr>
      <w:r>
        <w:rPr>
          <w:b w:val="0"/>
        </w:rPr>
        <w:t>ds. Współpracy z Organizacjami Pozarządowymi</w:t>
      </w:r>
      <w:r w:rsidR="00A90680" w:rsidRPr="003A0D89">
        <w:rPr>
          <w:b w:val="0"/>
        </w:rPr>
        <w:t xml:space="preserve"> </w:t>
      </w:r>
    </w:p>
    <w:p w:rsidR="00A90680" w:rsidRPr="003A0D89" w:rsidRDefault="00A90680" w:rsidP="004F1172">
      <w:pPr>
        <w:pStyle w:val="Tekstpodstawowy"/>
        <w:ind w:left="720"/>
        <w:rPr>
          <w:b w:val="0"/>
        </w:rPr>
      </w:pPr>
    </w:p>
    <w:p w:rsidR="00A90680" w:rsidRPr="003A0D89" w:rsidRDefault="00A90680" w:rsidP="004F1172">
      <w:pPr>
        <w:pStyle w:val="Tekstpodstawowy"/>
        <w:ind w:left="720"/>
        <w:rPr>
          <w:b w:val="0"/>
        </w:rPr>
      </w:pPr>
    </w:p>
    <w:p w:rsidR="004369F0" w:rsidRPr="003A0D89" w:rsidRDefault="004369F0" w:rsidP="004F1172">
      <w:bookmarkStart w:id="0" w:name="_GoBack"/>
      <w:bookmarkEnd w:id="0"/>
    </w:p>
    <w:sectPr w:rsidR="004369F0" w:rsidRPr="003A0D89" w:rsidSect="00666F2A">
      <w:footerReference w:type="default" r:id="rId8"/>
      <w:footerReference w:type="firs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6CC" w:rsidRDefault="00FF56CC">
      <w:r>
        <w:separator/>
      </w:r>
    </w:p>
  </w:endnote>
  <w:endnote w:type="continuationSeparator" w:id="0">
    <w:p w:rsidR="00FF56CC" w:rsidRDefault="00FF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435423"/>
      <w:docPartObj>
        <w:docPartGallery w:val="Page Numbers (Bottom of Page)"/>
        <w:docPartUnique/>
      </w:docPartObj>
    </w:sdtPr>
    <w:sdtEndPr/>
    <w:sdtContent>
      <w:p w:rsidR="009546D2" w:rsidRDefault="009546D2">
        <w:pPr>
          <w:pStyle w:val="Stopka"/>
          <w:jc w:val="center"/>
        </w:pPr>
        <w:r>
          <w:fldChar w:fldCharType="begin"/>
        </w:r>
        <w:r>
          <w:instrText>PAGE   \* MERGEFORMAT</w:instrText>
        </w:r>
        <w:r>
          <w:fldChar w:fldCharType="separate"/>
        </w:r>
        <w:r w:rsidR="00A23913">
          <w:rPr>
            <w:noProof/>
          </w:rPr>
          <w:t>4</w:t>
        </w:r>
        <w:r>
          <w:fldChar w:fldCharType="end"/>
        </w:r>
      </w:p>
    </w:sdtContent>
  </w:sdt>
  <w:p w:rsidR="006F08B8" w:rsidRDefault="00FF56C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E95" w:rsidRDefault="00A90680">
    <w:pPr>
      <w:pStyle w:val="Stopka"/>
      <w:jc w:val="center"/>
    </w:pPr>
    <w:r>
      <w:fldChar w:fldCharType="begin"/>
    </w:r>
    <w:r>
      <w:instrText>PAGE   \* MERGEFORMAT</w:instrText>
    </w:r>
    <w:r>
      <w:fldChar w:fldCharType="separate"/>
    </w:r>
    <w:r w:rsidR="00A23913">
      <w:rPr>
        <w:noProof/>
      </w:rPr>
      <w:t>1</w:t>
    </w:r>
    <w:r>
      <w:fldChar w:fldCharType="end"/>
    </w:r>
  </w:p>
  <w:p w:rsidR="00231E95" w:rsidRDefault="00FF56C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6CC" w:rsidRDefault="00FF56CC">
      <w:r>
        <w:separator/>
      </w:r>
    </w:p>
  </w:footnote>
  <w:footnote w:type="continuationSeparator" w:id="0">
    <w:p w:rsidR="00FF56CC" w:rsidRDefault="00FF5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80"/>
    <w:rsid w:val="000016D0"/>
    <w:rsid w:val="00032148"/>
    <w:rsid w:val="000A2B8A"/>
    <w:rsid w:val="000B099C"/>
    <w:rsid w:val="00131161"/>
    <w:rsid w:val="0014615D"/>
    <w:rsid w:val="0016381A"/>
    <w:rsid w:val="00253D9B"/>
    <w:rsid w:val="00261CD8"/>
    <w:rsid w:val="00331BDE"/>
    <w:rsid w:val="003A0D89"/>
    <w:rsid w:val="003F2499"/>
    <w:rsid w:val="004369F0"/>
    <w:rsid w:val="00440720"/>
    <w:rsid w:val="00454581"/>
    <w:rsid w:val="004D5B63"/>
    <w:rsid w:val="004F1172"/>
    <w:rsid w:val="00672EA1"/>
    <w:rsid w:val="006D57EB"/>
    <w:rsid w:val="007716E7"/>
    <w:rsid w:val="00777983"/>
    <w:rsid w:val="007A25E8"/>
    <w:rsid w:val="007A3A67"/>
    <w:rsid w:val="007B243C"/>
    <w:rsid w:val="00906B6D"/>
    <w:rsid w:val="00907FDE"/>
    <w:rsid w:val="00926FA0"/>
    <w:rsid w:val="00943474"/>
    <w:rsid w:val="009546D2"/>
    <w:rsid w:val="00956CED"/>
    <w:rsid w:val="00A23913"/>
    <w:rsid w:val="00A334A2"/>
    <w:rsid w:val="00A83A9A"/>
    <w:rsid w:val="00A90680"/>
    <w:rsid w:val="00A93A5C"/>
    <w:rsid w:val="00AF6658"/>
    <w:rsid w:val="00B3357B"/>
    <w:rsid w:val="00B41714"/>
    <w:rsid w:val="00B559FB"/>
    <w:rsid w:val="00B95FF9"/>
    <w:rsid w:val="00C23B10"/>
    <w:rsid w:val="00C32207"/>
    <w:rsid w:val="00C52A6B"/>
    <w:rsid w:val="00D5674B"/>
    <w:rsid w:val="00E626FE"/>
    <w:rsid w:val="00E83D11"/>
    <w:rsid w:val="00F2089A"/>
    <w:rsid w:val="00FF56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068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3357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90680"/>
    <w:pPr>
      <w:tabs>
        <w:tab w:val="center" w:pos="4536"/>
        <w:tab w:val="right" w:pos="9072"/>
      </w:tabs>
    </w:pPr>
  </w:style>
  <w:style w:type="character" w:customStyle="1" w:styleId="NagwekZnak">
    <w:name w:val="Nagłówek Znak"/>
    <w:basedOn w:val="Domylnaczcionkaakapitu"/>
    <w:link w:val="Nagwek"/>
    <w:uiPriority w:val="99"/>
    <w:rsid w:val="00A90680"/>
    <w:rPr>
      <w:rFonts w:ascii="Times New Roman" w:eastAsia="Times New Roman" w:hAnsi="Times New Roman" w:cs="Times New Roman"/>
      <w:sz w:val="24"/>
      <w:szCs w:val="24"/>
      <w:lang w:eastAsia="pl-PL"/>
    </w:rPr>
  </w:style>
  <w:style w:type="character" w:styleId="Numerstrony">
    <w:name w:val="page number"/>
    <w:uiPriority w:val="99"/>
    <w:rsid w:val="00A90680"/>
    <w:rPr>
      <w:rFonts w:ascii="Times New Roman" w:hAnsi="Times New Roman" w:cs="Times New Roman"/>
    </w:rPr>
  </w:style>
  <w:style w:type="paragraph" w:customStyle="1" w:styleId="Domy9clnie">
    <w:name w:val="Domyś9clnie"/>
    <w:rsid w:val="00A90680"/>
    <w:pPr>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styleId="Tekstpodstawowy">
    <w:name w:val="Body Text"/>
    <w:basedOn w:val="Normalny"/>
    <w:link w:val="TekstpodstawowyZnak"/>
    <w:uiPriority w:val="99"/>
    <w:rsid w:val="00A90680"/>
    <w:pPr>
      <w:autoSpaceDE w:val="0"/>
      <w:autoSpaceDN w:val="0"/>
      <w:adjustRightInd w:val="0"/>
    </w:pPr>
    <w:rPr>
      <w:b/>
      <w:bCs/>
    </w:rPr>
  </w:style>
  <w:style w:type="character" w:customStyle="1" w:styleId="TekstpodstawowyZnak">
    <w:name w:val="Tekst podstawowy Znak"/>
    <w:basedOn w:val="Domylnaczcionkaakapitu"/>
    <w:link w:val="Tekstpodstawowy"/>
    <w:uiPriority w:val="99"/>
    <w:rsid w:val="00A90680"/>
    <w:rPr>
      <w:rFonts w:ascii="Times New Roman" w:eastAsia="Times New Roman" w:hAnsi="Times New Roman" w:cs="Times New Roman"/>
      <w:b/>
      <w:bCs/>
      <w:sz w:val="24"/>
      <w:szCs w:val="24"/>
      <w:lang w:eastAsia="pl-PL"/>
    </w:rPr>
  </w:style>
  <w:style w:type="paragraph" w:styleId="Stopka">
    <w:name w:val="footer"/>
    <w:basedOn w:val="Normalny"/>
    <w:link w:val="StopkaZnak"/>
    <w:uiPriority w:val="99"/>
    <w:unhideWhenUsed/>
    <w:rsid w:val="00A90680"/>
    <w:pPr>
      <w:tabs>
        <w:tab w:val="center" w:pos="4536"/>
        <w:tab w:val="right" w:pos="9072"/>
      </w:tabs>
    </w:pPr>
  </w:style>
  <w:style w:type="character" w:customStyle="1" w:styleId="StopkaZnak">
    <w:name w:val="Stopka Znak"/>
    <w:basedOn w:val="Domylnaczcionkaakapitu"/>
    <w:link w:val="Stopka"/>
    <w:uiPriority w:val="99"/>
    <w:rsid w:val="00A90680"/>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B3357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068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3357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90680"/>
    <w:pPr>
      <w:tabs>
        <w:tab w:val="center" w:pos="4536"/>
        <w:tab w:val="right" w:pos="9072"/>
      </w:tabs>
    </w:pPr>
  </w:style>
  <w:style w:type="character" w:customStyle="1" w:styleId="NagwekZnak">
    <w:name w:val="Nagłówek Znak"/>
    <w:basedOn w:val="Domylnaczcionkaakapitu"/>
    <w:link w:val="Nagwek"/>
    <w:uiPriority w:val="99"/>
    <w:rsid w:val="00A90680"/>
    <w:rPr>
      <w:rFonts w:ascii="Times New Roman" w:eastAsia="Times New Roman" w:hAnsi="Times New Roman" w:cs="Times New Roman"/>
      <w:sz w:val="24"/>
      <w:szCs w:val="24"/>
      <w:lang w:eastAsia="pl-PL"/>
    </w:rPr>
  </w:style>
  <w:style w:type="character" w:styleId="Numerstrony">
    <w:name w:val="page number"/>
    <w:uiPriority w:val="99"/>
    <w:rsid w:val="00A90680"/>
    <w:rPr>
      <w:rFonts w:ascii="Times New Roman" w:hAnsi="Times New Roman" w:cs="Times New Roman"/>
    </w:rPr>
  </w:style>
  <w:style w:type="paragraph" w:customStyle="1" w:styleId="Domy9clnie">
    <w:name w:val="Domyś9clnie"/>
    <w:rsid w:val="00A90680"/>
    <w:pPr>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styleId="Tekstpodstawowy">
    <w:name w:val="Body Text"/>
    <w:basedOn w:val="Normalny"/>
    <w:link w:val="TekstpodstawowyZnak"/>
    <w:uiPriority w:val="99"/>
    <w:rsid w:val="00A90680"/>
    <w:pPr>
      <w:autoSpaceDE w:val="0"/>
      <w:autoSpaceDN w:val="0"/>
      <w:adjustRightInd w:val="0"/>
    </w:pPr>
    <w:rPr>
      <w:b/>
      <w:bCs/>
    </w:rPr>
  </w:style>
  <w:style w:type="character" w:customStyle="1" w:styleId="TekstpodstawowyZnak">
    <w:name w:val="Tekst podstawowy Znak"/>
    <w:basedOn w:val="Domylnaczcionkaakapitu"/>
    <w:link w:val="Tekstpodstawowy"/>
    <w:uiPriority w:val="99"/>
    <w:rsid w:val="00A90680"/>
    <w:rPr>
      <w:rFonts w:ascii="Times New Roman" w:eastAsia="Times New Roman" w:hAnsi="Times New Roman" w:cs="Times New Roman"/>
      <w:b/>
      <w:bCs/>
      <w:sz w:val="24"/>
      <w:szCs w:val="24"/>
      <w:lang w:eastAsia="pl-PL"/>
    </w:rPr>
  </w:style>
  <w:style w:type="paragraph" w:styleId="Stopka">
    <w:name w:val="footer"/>
    <w:basedOn w:val="Normalny"/>
    <w:link w:val="StopkaZnak"/>
    <w:uiPriority w:val="99"/>
    <w:unhideWhenUsed/>
    <w:rsid w:val="00A90680"/>
    <w:pPr>
      <w:tabs>
        <w:tab w:val="center" w:pos="4536"/>
        <w:tab w:val="right" w:pos="9072"/>
      </w:tabs>
    </w:pPr>
  </w:style>
  <w:style w:type="character" w:customStyle="1" w:styleId="StopkaZnak">
    <w:name w:val="Stopka Znak"/>
    <w:basedOn w:val="Domylnaczcionkaakapitu"/>
    <w:link w:val="Stopka"/>
    <w:uiPriority w:val="99"/>
    <w:rsid w:val="00A90680"/>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B3357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02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1D886-055D-433E-BE37-FE0ED586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685</Words>
  <Characters>4114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Szyszko</dc:creator>
  <cp:lastModifiedBy>Agnieszka Szyszko</cp:lastModifiedBy>
  <cp:revision>29</cp:revision>
  <cp:lastPrinted>2020-03-11T12:03:00Z</cp:lastPrinted>
  <dcterms:created xsi:type="dcterms:W3CDTF">2018-04-04T13:24:00Z</dcterms:created>
  <dcterms:modified xsi:type="dcterms:W3CDTF">2020-03-11T12:03:00Z</dcterms:modified>
</cp:coreProperties>
</file>