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EE2A46">
        <w:rPr>
          <w:rFonts w:ascii="Times New Roman" w:hAnsi="Times New Roman" w:cs="Times New Roman"/>
          <w:b/>
          <w:sz w:val="28"/>
          <w:szCs w:val="28"/>
        </w:rPr>
        <w:t>68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</w:t>
      </w:r>
      <w:r w:rsidR="002168A8" w:rsidRPr="00EE2A46">
        <w:rPr>
          <w:rFonts w:ascii="Times New Roman" w:hAnsi="Times New Roman" w:cs="Times New Roman"/>
          <w:sz w:val="24"/>
          <w:szCs w:val="24"/>
        </w:rPr>
        <w:t>.</w:t>
      </w:r>
      <w:r w:rsidR="00EE2A46" w:rsidRPr="00EE2A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2A46" w:rsidRPr="00EE2A46">
        <w:rPr>
          <w:rFonts w:ascii="Times New Roman" w:hAnsi="Times New Roman" w:cs="Times New Roman"/>
          <w:b/>
          <w:i/>
          <w:sz w:val="24"/>
          <w:szCs w:val="24"/>
        </w:rPr>
        <w:t>„Rozbudowa ulicy Krzywólka w Suwałkach na odcinku od pętli autobusowej do posesji przy ul. Krzywólka 36 wraz z infrastruktura techniczną”</w:t>
      </w:r>
      <w:r w:rsidR="008B322A" w:rsidRPr="00EE2A46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A1" w:rsidRDefault="009533A1" w:rsidP="0038231F">
      <w:pPr>
        <w:spacing w:after="0" w:line="240" w:lineRule="auto"/>
      </w:pPr>
      <w:r>
        <w:separator/>
      </w:r>
    </w:p>
  </w:endnote>
  <w:endnote w:type="continuationSeparator" w:id="0">
    <w:p w:rsidR="009533A1" w:rsidRDefault="009533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A1" w:rsidRDefault="009533A1" w:rsidP="0038231F">
      <w:pPr>
        <w:spacing w:after="0" w:line="240" w:lineRule="auto"/>
      </w:pPr>
      <w:r>
        <w:separator/>
      </w:r>
    </w:p>
  </w:footnote>
  <w:footnote w:type="continuationSeparator" w:id="0">
    <w:p w:rsidR="009533A1" w:rsidRDefault="009533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33A1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E2A46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1076-7A68-448B-82E2-B6603033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9</cp:revision>
  <cp:lastPrinted>2018-02-22T12:33:00Z</cp:lastPrinted>
  <dcterms:created xsi:type="dcterms:W3CDTF">2018-04-11T12:24:00Z</dcterms:created>
  <dcterms:modified xsi:type="dcterms:W3CDTF">2018-07-25T10:48:00Z</dcterms:modified>
</cp:coreProperties>
</file>